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0B" w:rsidRPr="000440EA" w:rsidRDefault="00D36F0B" w:rsidP="000440E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EA">
        <w:rPr>
          <w:rFonts w:ascii="Times New Roman" w:hAnsi="Times New Roman" w:cs="Times New Roman"/>
          <w:b/>
          <w:sz w:val="28"/>
          <w:szCs w:val="28"/>
        </w:rPr>
        <w:t>Памятка по профилактике безнадзорности</w:t>
      </w:r>
    </w:p>
    <w:p w:rsidR="00D36F0B" w:rsidRPr="000440EA" w:rsidRDefault="00D36F0B" w:rsidP="000440E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0EA">
        <w:rPr>
          <w:rFonts w:ascii="Times New Roman" w:hAnsi="Times New Roman" w:cs="Times New Roman"/>
          <w:b/>
          <w:sz w:val="28"/>
          <w:szCs w:val="28"/>
        </w:rPr>
        <w:t>и правонарушений несовершеннолетних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36F0B" w:rsidRPr="000440EA" w:rsidRDefault="000440EA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6F0B" w:rsidRPr="000440E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системе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употребляются следующие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основные понятия: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  <w:u w:val="single"/>
        </w:rPr>
        <w:t>Несовершеннолетний</w:t>
      </w:r>
      <w:r w:rsidRPr="000440EA">
        <w:rPr>
          <w:rFonts w:ascii="Times New Roman" w:hAnsi="Times New Roman" w:cs="Times New Roman"/>
          <w:sz w:val="28"/>
          <w:szCs w:val="28"/>
        </w:rPr>
        <w:t xml:space="preserve"> - лицо, не достигшее возраста восемнадцати лет.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  <w:u w:val="single"/>
        </w:rPr>
        <w:t xml:space="preserve">Безнадзорный </w:t>
      </w:r>
      <w:r w:rsidRPr="000440EA">
        <w:rPr>
          <w:rFonts w:ascii="Times New Roman" w:hAnsi="Times New Roman" w:cs="Times New Roman"/>
          <w:sz w:val="28"/>
          <w:szCs w:val="28"/>
        </w:rPr>
        <w:t xml:space="preserve">– несовершеннолетний,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поведением которого,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отсутствует вследствие неисполнения или ненадлежащего исполнения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обязанностей по его воспитанию, обучению и (или) содержанию со стороны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родителей или законных представителей либо должностных лиц.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  <w:u w:val="single"/>
        </w:rPr>
        <w:t>Беспризорный</w:t>
      </w:r>
      <w:r w:rsidRPr="000440EA">
        <w:rPr>
          <w:rFonts w:ascii="Times New Roman" w:hAnsi="Times New Roman" w:cs="Times New Roman"/>
          <w:sz w:val="28"/>
          <w:szCs w:val="28"/>
        </w:rPr>
        <w:t xml:space="preserve"> - безнадзорный, не имеющий места жительства и (или) места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пребывания.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  <w:u w:val="single"/>
        </w:rPr>
        <w:t>Дети, находящиеся в трудной жизненной ситуации</w:t>
      </w:r>
      <w:r w:rsidRPr="000440EA">
        <w:rPr>
          <w:rFonts w:ascii="Times New Roman" w:hAnsi="Times New Roman" w:cs="Times New Roman"/>
          <w:sz w:val="28"/>
          <w:szCs w:val="28"/>
        </w:rPr>
        <w:t xml:space="preserve"> – дети, оставшиеся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попечения родителей; дети-инвалиды; дети, имеющие недостатки в психическом и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(или) физическом развитии; дети-жертвы вооруженных и межнациональных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конфликтов, экологических и техногенных катастроф, стихийных бедствий; дети из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семей беженцев и вынужденных переселенцев; дети, оказавшиеся в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экстремальных условиях; дети – жертвы насилия; дети, находящиеся в</w:t>
      </w:r>
      <w:r w:rsidR="000440EA">
        <w:rPr>
          <w:rFonts w:ascii="Times New Roman" w:hAnsi="Times New Roman" w:cs="Times New Roman"/>
          <w:sz w:val="28"/>
          <w:szCs w:val="28"/>
        </w:rPr>
        <w:t xml:space="preserve"> с</w:t>
      </w:r>
      <w:r w:rsidRPr="000440EA">
        <w:rPr>
          <w:rFonts w:ascii="Times New Roman" w:hAnsi="Times New Roman" w:cs="Times New Roman"/>
          <w:sz w:val="28"/>
          <w:szCs w:val="28"/>
        </w:rPr>
        <w:t>пециальных учебно-воспитательных учреждениях;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дети, жизнедеятельность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которых объективно нарушена в результате сложившихся обстоятельств и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которые не могут преодолеть данные обстоятельства самостоятельно или с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помощью семьи.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  <w:u w:val="single"/>
        </w:rPr>
        <w:t>Профилактика безнадзорности и правонарушений несовершеннолетних</w:t>
      </w:r>
      <w:r w:rsidRPr="000440EA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система социальных, правовых, педагогических и иных мер, направленных на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безнадзорности,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беспризорности, правонарушениям и антиобщественным действиям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несовершеннолетних, осуществляемых в совокупности с индивидуальной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профилактической работой с несовершеннолетними и семьями, находящимися в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социально опасном положении.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  <w:u w:val="single"/>
        </w:rPr>
        <w:t>Правонарушение -</w:t>
      </w:r>
      <w:r w:rsidRPr="000440EA">
        <w:rPr>
          <w:rFonts w:ascii="Times New Roman" w:hAnsi="Times New Roman" w:cs="Times New Roman"/>
          <w:sz w:val="28"/>
          <w:szCs w:val="28"/>
        </w:rPr>
        <w:t xml:space="preserve"> родовое понятие, означающее любое деяние, нарушающее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какие-либо нормы права, и представляет собой юридический факт,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противоправное виновное деяние, совершенное умышленно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либо по неосторожности. За правонарушение законом предусматривается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соответственно гражданская, административная, дисциплинарная и уголовная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  <w:u w:val="single"/>
        </w:rPr>
        <w:t>Административное правонарушение</w:t>
      </w:r>
      <w:r w:rsidRPr="000440EA">
        <w:rPr>
          <w:rFonts w:ascii="Times New Roman" w:hAnsi="Times New Roman" w:cs="Times New Roman"/>
          <w:sz w:val="28"/>
          <w:szCs w:val="28"/>
        </w:rPr>
        <w:t xml:space="preserve"> - противоправное, виновное действие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(бездействие) физического или юридического лица, за которое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Административным Кодексом Российской Федерации или законами субъектов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установлена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административная ответственность.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  <w:u w:val="single"/>
        </w:rPr>
        <w:t>Индивидуальная профилактическая работа</w:t>
      </w:r>
      <w:r w:rsidRPr="000440EA">
        <w:rPr>
          <w:rFonts w:ascii="Times New Roman" w:hAnsi="Times New Roman" w:cs="Times New Roman"/>
          <w:sz w:val="28"/>
          <w:szCs w:val="28"/>
        </w:rPr>
        <w:t xml:space="preserve"> - деятельность по своевременному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выявлению обучающихся и семей, находящихся в социальн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опасном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 xml:space="preserve">положении, а также по их социально-педагогической </w:t>
      </w:r>
      <w:r w:rsidRPr="000440EA">
        <w:rPr>
          <w:rFonts w:ascii="Times New Roman" w:hAnsi="Times New Roman" w:cs="Times New Roman"/>
          <w:sz w:val="28"/>
          <w:szCs w:val="28"/>
        </w:rPr>
        <w:lastRenderedPageBreak/>
        <w:t>реабилитации и (или)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предупреждению совершения ими правонарушений и антиобщественных деяний.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  <w:u w:val="single"/>
        </w:rPr>
        <w:t>Несовершеннолетний, находящийся в социально опасном положении</w:t>
      </w:r>
      <w:r w:rsidR="000440EA">
        <w:rPr>
          <w:rFonts w:ascii="Times New Roman" w:hAnsi="Times New Roman" w:cs="Times New Roman"/>
          <w:sz w:val="28"/>
          <w:szCs w:val="28"/>
        </w:rPr>
        <w:t xml:space="preserve"> -  </w:t>
      </w:r>
      <w:r w:rsidRPr="000440EA">
        <w:rPr>
          <w:rFonts w:ascii="Times New Roman" w:hAnsi="Times New Roman" w:cs="Times New Roman"/>
          <w:sz w:val="28"/>
          <w:szCs w:val="28"/>
        </w:rPr>
        <w:t>лицо в возрасте до 18 лет, которое вследствие безнадзорности или</w:t>
      </w:r>
      <w:r w:rsidR="000440EA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беспризорности находится в обстановке, представляющей опасность для его</w:t>
      </w:r>
      <w:r w:rsidR="009048CC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жизни или здоровья либо не отвечающей требованиям к его воспитанию или</w:t>
      </w:r>
      <w:r w:rsidR="009048CC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содержанию, либо совершает правонарушение или антиобщественные деяния.</w:t>
      </w:r>
      <w:proofErr w:type="gramEnd"/>
      <w:r w:rsidR="000A626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Семья, находящаяся в социально опасном положении, - семья, имеющая</w:t>
      </w:r>
      <w:r w:rsidR="000A6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>, находящегося в социально-опасном положении, а также семья, где</w:t>
      </w:r>
      <w:r w:rsidR="000A626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обучающегося не исполняют своих</w:t>
      </w:r>
      <w:r w:rsidR="000A626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обязанностей по его воспитанию, обучению и (или) содержанию и (или)</w:t>
      </w:r>
      <w:r w:rsidR="000A626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отрицательно влияют на его поведение либо жестоко обращаются с ним.</w:t>
      </w:r>
    </w:p>
    <w:p w:rsidR="00D36F0B" w:rsidRPr="000440EA" w:rsidRDefault="00A312FD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2FD">
        <w:rPr>
          <w:rFonts w:ascii="Times New Roman" w:hAnsi="Times New Roman" w:cs="Times New Roman"/>
          <w:sz w:val="28"/>
          <w:szCs w:val="28"/>
          <w:u w:val="single"/>
        </w:rPr>
        <w:t>Внутрисадичный</w:t>
      </w:r>
      <w:proofErr w:type="spellEnd"/>
      <w:r w:rsidRPr="00A312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6F0B" w:rsidRPr="00A312FD">
        <w:rPr>
          <w:rFonts w:ascii="Times New Roman" w:hAnsi="Times New Roman" w:cs="Times New Roman"/>
          <w:sz w:val="28"/>
          <w:szCs w:val="28"/>
          <w:u w:val="single"/>
        </w:rPr>
        <w:t xml:space="preserve"> учёт</w:t>
      </w:r>
      <w:r w:rsidR="00D36F0B" w:rsidRPr="000440EA">
        <w:rPr>
          <w:rFonts w:ascii="Times New Roman" w:hAnsi="Times New Roman" w:cs="Times New Roman"/>
          <w:sz w:val="28"/>
          <w:szCs w:val="28"/>
        </w:rPr>
        <w:t xml:space="preserve"> - система индивидуальных 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F0B" w:rsidRPr="000440EA">
        <w:rPr>
          <w:rFonts w:ascii="Times New Roman" w:hAnsi="Times New Roman" w:cs="Times New Roman"/>
          <w:sz w:val="28"/>
          <w:szCs w:val="28"/>
        </w:rPr>
        <w:t>мероприятий, осуществляемая образовательным учреждением в отношении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и семей, находящихся в социально-опасном положении, которая</w:t>
      </w:r>
      <w:r w:rsidR="00A312FD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направлена на: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-предупреждение безнадзорности, правонарушений и других негативных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проявлений в среде обучающихся;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-выявление и устранение причин и условий, способствующих безнадзорности и</w:t>
      </w:r>
      <w:r w:rsidR="00A312FD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правонарушениям обучающихся;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-социально-педагогическую реабилитацию обучающихся и семей, находящихся в</w:t>
      </w:r>
      <w:r w:rsidR="00A312FD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социально-опасном положении.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B4386">
        <w:rPr>
          <w:rFonts w:ascii="Times New Roman" w:hAnsi="Times New Roman" w:cs="Times New Roman"/>
          <w:sz w:val="28"/>
          <w:szCs w:val="28"/>
          <w:u w:val="single"/>
        </w:rPr>
        <w:t>Причины правонарушений и преступлений несовершеннолетних</w:t>
      </w:r>
      <w:r w:rsidR="002B4386">
        <w:rPr>
          <w:rFonts w:ascii="Times New Roman" w:hAnsi="Times New Roman" w:cs="Times New Roman"/>
          <w:sz w:val="28"/>
          <w:szCs w:val="28"/>
        </w:rPr>
        <w:t>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Преступление - крайняя форма неуважения к общественным установкам, когда</w:t>
      </w:r>
      <w:r w:rsidR="002B4386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человек переступает черту, положенную законом.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Совершение преступления подростком показывает, что подросток далеко отошел</w:t>
      </w:r>
      <w:r w:rsidR="002B4386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от границ допустимого. Но мгновенного падения в моральные пропасти не бывает.</w:t>
      </w:r>
      <w:r w:rsidR="002B4386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Поэтому важно выяснить причины, приведшие подростка к правонарушению или</w:t>
      </w:r>
      <w:r w:rsidR="002B4386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преступлению.</w:t>
      </w:r>
    </w:p>
    <w:p w:rsidR="00D36F0B" w:rsidRPr="00480254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0254">
        <w:rPr>
          <w:rFonts w:ascii="Times New Roman" w:hAnsi="Times New Roman" w:cs="Times New Roman"/>
          <w:sz w:val="28"/>
          <w:szCs w:val="28"/>
          <w:u w:val="single"/>
        </w:rPr>
        <w:t>Семейное неблагополучие</w:t>
      </w:r>
      <w:r w:rsidR="004802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Семья - важнейший институт социализации подрастающего поколения. Она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являет собой персональную среду жизни и развития детей, подростков, юношей.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Какую бы сторону жизни ребенка мы не взяли, всегда окажется, что решающую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роль в эффективности на том или ином возрастном этапе развития личности не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может сыграть ни одно общественное или государственное учреждение, как бы ни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было оно совершенно. Отсутствие родительской семьи или семейное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неблагополучие, напротив, почти всегда создает реальные сложности в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формировании детей и подростков, преодолеть которые обществу до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сегодняшнего дня не удается.</w:t>
      </w:r>
    </w:p>
    <w:p w:rsidR="00D36F0B" w:rsidRPr="00480254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0254">
        <w:rPr>
          <w:rFonts w:ascii="Times New Roman" w:hAnsi="Times New Roman" w:cs="Times New Roman"/>
          <w:sz w:val="28"/>
          <w:szCs w:val="28"/>
          <w:u w:val="single"/>
        </w:rPr>
        <w:t>Неблагоприятное бытовое окружение</w:t>
      </w:r>
      <w:r w:rsidR="004802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Это одна из распространенных причин правонарушений среди подростков.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Превращение большой семьи в малую, рост числа однодетных и неполных семей,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дезорганизация семьи повысили необходимость для детей искать общения вне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 xml:space="preserve">дома как своеобразную компенсацию дефицита эмоциональных </w:t>
      </w:r>
      <w:r w:rsidRPr="000440EA">
        <w:rPr>
          <w:rFonts w:ascii="Times New Roman" w:hAnsi="Times New Roman" w:cs="Times New Roman"/>
          <w:sz w:val="28"/>
          <w:szCs w:val="28"/>
        </w:rPr>
        <w:lastRenderedPageBreak/>
        <w:t>контактов с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родителями. В школе, где он успевал, ему тоже плохо. Таким образом, из трех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основных сфер жизнедеятельности подростка: семья, школа, досуг - в двух ему</w:t>
      </w:r>
      <w:r w:rsidR="0048025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плохо.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Уходя от несвободы семьи и школы, подросток попадает в несвободу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неформальной группировки. И что печальнее всего, многие из них не хотят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разрывать с такой группой. Она гармонизирует его бытие - обеспечивает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видимость порядка, защиту, престижность положения.</w:t>
      </w:r>
    </w:p>
    <w:p w:rsidR="00D36F0B" w:rsidRPr="00480254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0254">
        <w:rPr>
          <w:rFonts w:ascii="Times New Roman" w:hAnsi="Times New Roman" w:cs="Times New Roman"/>
          <w:sz w:val="28"/>
          <w:szCs w:val="28"/>
          <w:u w:val="single"/>
        </w:rPr>
        <w:t>Средства массовой информации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Если говорить о влиянии на ребят средств массовой информации, нужно в первую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очередь отметить их информационное воздействие. Они образуют систему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неформального образования, существенно отличающуюся от системы обучения в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учебных заведениях.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Кино и телевидение являются мощными источниками формирования навыков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агрессивного поведения. Посредством телевидения дети и подростки получают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 xml:space="preserve">многочисленные возможности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широкому спектру форм агрессии, не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выходя из дома.</w:t>
      </w:r>
    </w:p>
    <w:p w:rsidR="00D36F0B" w:rsidRPr="00CD6BE7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6BE7">
        <w:rPr>
          <w:rFonts w:ascii="Times New Roman" w:hAnsi="Times New Roman" w:cs="Times New Roman"/>
          <w:sz w:val="28"/>
          <w:szCs w:val="28"/>
          <w:u w:val="single"/>
        </w:rPr>
        <w:t>Подстрекательство со стороны взрослых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Известно, что немало преступлений подростки совершают под воздействием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взрослых. Подстрекательство - это не только склонение, но и вовлечение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преступление. Подстрекатели любыми способами стремятся сделать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зависимыми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>, увлекают их ложной романтикой, разлагают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бездельем, пьянством и наркоманией.</w:t>
      </w:r>
    </w:p>
    <w:p w:rsidR="00D36F0B" w:rsidRPr="00CD6BE7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6BE7">
        <w:rPr>
          <w:rFonts w:ascii="Times New Roman" w:hAnsi="Times New Roman" w:cs="Times New Roman"/>
          <w:sz w:val="28"/>
          <w:szCs w:val="28"/>
          <w:u w:val="single"/>
        </w:rPr>
        <w:t>Низкая правовая грамотность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Правовая безграмотность - одна из причин правонарушений и преступлений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несовершеннолетних. Учащиеся не всегда знают, что некоторые моральные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запреты санкционированы законом, и многие поступки не только не допустимы с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точки зрения нравственности, но и влекут за собой ответственность по закону.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Кража вещей, рэкет, поломка телефонов-автоматов, драки с нанесением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телесных повреждений, истязания - все это совершается подростками, нередко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 xml:space="preserve">находящимися в неведении об ответственности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содеянное.</w:t>
      </w:r>
    </w:p>
    <w:p w:rsidR="00D36F0B" w:rsidRPr="00CD6BE7" w:rsidRDefault="00CD6BE7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6BE7">
        <w:rPr>
          <w:rFonts w:ascii="Times New Roman" w:hAnsi="Times New Roman" w:cs="Times New Roman"/>
          <w:sz w:val="28"/>
          <w:szCs w:val="28"/>
          <w:u w:val="single"/>
        </w:rPr>
        <w:t>Правовое образование в ДОО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Правовое воспитание является одним из видов профилактики правонарушений и</w:t>
      </w:r>
      <w:r w:rsidR="00CD6BE7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преступлений несовершеннолетних.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Правонарушения - противоправные деяния, причиняющие вред обществу и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караемые по закону;</w:t>
      </w:r>
      <w:r w:rsidR="00883888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Правовое воспитание - процесс организованного воздействия на личность,</w:t>
      </w:r>
      <w:r w:rsidR="00883888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формирование правового сознания и поведения юного гражданина. Правовое</w:t>
      </w:r>
      <w:r w:rsidR="00883888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воспитание ориентировано на осознанное восприятие юридических законов,</w:t>
      </w:r>
      <w:r w:rsidR="00883888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правовых норм и обязанностей;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Правовая норма - идеальная модель должного поведения человека любого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возраста в обществе;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Правовая культура – разновидность общей культуры; отражает определенный</w:t>
      </w:r>
      <w:r w:rsidR="00B007D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уровень правосознания, законности, охватывает все ценности, которые созданы</w:t>
      </w:r>
      <w:r w:rsidR="00B007D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людьми в области права.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lastRenderedPageBreak/>
        <w:t>Правовой нигилизм – полное отрицание всего, полный скептицизм, постоянное</w:t>
      </w:r>
      <w:r w:rsidR="00B007D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противопоставление себя сложившейся системе.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Правовое образование, воспитание и просвещение населения России находится в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центре внимания современного российского общества.</w:t>
      </w:r>
    </w:p>
    <w:p w:rsidR="00D36F0B" w:rsidRPr="000F1E39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1E39">
        <w:rPr>
          <w:rFonts w:ascii="Times New Roman" w:hAnsi="Times New Roman" w:cs="Times New Roman"/>
          <w:sz w:val="28"/>
          <w:szCs w:val="28"/>
          <w:u w:val="single"/>
        </w:rPr>
        <w:t>Административное право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Административным законодательством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административная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ответственность, которая выражается в мерах административного наказания.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Основой административного наказания является административное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правонарушение.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противоправное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>, виновное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действие (бездействие) физического или юридического лица, за которое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установлена административная ответственность.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лицо, достигшее к моменту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совершения административного правонарушения возраста шестнадцати лет (ст.2.3 КоАП РФ). Ответственность за </w:t>
      </w:r>
      <w:r w:rsidR="000F1E39">
        <w:rPr>
          <w:rFonts w:ascii="Times New Roman" w:hAnsi="Times New Roman" w:cs="Times New Roman"/>
          <w:sz w:val="28"/>
          <w:szCs w:val="28"/>
        </w:rPr>
        <w:t>административное правонарушение</w:t>
      </w:r>
      <w:r w:rsidRPr="000440EA">
        <w:rPr>
          <w:rFonts w:ascii="Times New Roman" w:hAnsi="Times New Roman" w:cs="Times New Roman"/>
          <w:sz w:val="28"/>
          <w:szCs w:val="28"/>
        </w:rPr>
        <w:t>,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совершенное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несовершеннолетним</w:t>
      </w:r>
      <w:r w:rsidR="000F1E39">
        <w:rPr>
          <w:rFonts w:ascii="Times New Roman" w:hAnsi="Times New Roman" w:cs="Times New Roman"/>
          <w:sz w:val="28"/>
          <w:szCs w:val="28"/>
        </w:rPr>
        <w:t xml:space="preserve">и в возрасте от четырнадцати до </w:t>
      </w:r>
      <w:r w:rsidRPr="000440EA">
        <w:rPr>
          <w:rFonts w:ascii="Times New Roman" w:hAnsi="Times New Roman" w:cs="Times New Roman"/>
          <w:sz w:val="28"/>
          <w:szCs w:val="28"/>
        </w:rPr>
        <w:t>шестнадцати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лет, несут родители или иные законные представители (опекуны, попечители). С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учетом конкретных обстоятельств дела и данных о лице, совершившем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административное правонарушение в возрасте от шестнадцати до восемнадцати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лет, комиссией по делам несовершеннолетних и защите их прав указанное лицо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может быть освобождено от административной ответственности с применением к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нему меры воздействия, предусмотренной федеральным законодательством о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защите прав несовершеннолетних.</w:t>
      </w:r>
    </w:p>
    <w:p w:rsidR="00D36F0B" w:rsidRPr="000F1E39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1E39">
        <w:rPr>
          <w:rFonts w:ascii="Times New Roman" w:hAnsi="Times New Roman" w:cs="Times New Roman"/>
          <w:sz w:val="28"/>
          <w:szCs w:val="28"/>
          <w:u w:val="single"/>
        </w:rPr>
        <w:t>Уголовное право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Преступление – виновное общественно опасное, противозаконное, или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противоправное, деяние (действие или бездействие), подпадающее под запрет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уголовного закона. Преступления предусмотрены Особенной частью Уголовного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кодекса Российской Федерации (УК РФ).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Уголовная ответственность – один из видов юридической ответственности. Она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является правовым последствием совершения преступления и заключается в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применении к виновному государственного принуждения в форме уголовного</w:t>
      </w:r>
      <w:r w:rsidR="000F1E39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наказания.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В соответствии с Уголовным кодексом Российской Федерации уголовная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ответственность несовершеннолетних наступает с 16 лет за все виды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преступлений, обозначенных в Уголовном кодексе Российской Федерации.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Но за строго определенный ряд преступлений, перечисленных в статье 20 УК РФ,</w:t>
      </w:r>
      <w:r w:rsidR="00E56DE5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уголовная ответственность наступает с 14 лет: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-убийство (ст. 105);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-умышленное причинение тяжкого вреда здоровью (ст. 111);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-умышленное причинение средней тяжести вреда здоровью (ст.112);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-похищение человека (ст. 126);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-изнасилование (ст. 131);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-насильственные действия сексуального характера (ст. 132);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-кража (ст. 158);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lastRenderedPageBreak/>
        <w:t>-грабеж (ст. 161);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-разбой (ст. 162);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-вымогательство (ст. 163);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-неправомерное завладение автомобилем или иным транспортным средством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цели хищения (ст. 166);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-умышленное уничтожение или повреждение имущества при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отягчающих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(ст. 167 ч. 2);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-терроризм (ст. 205);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-захват заложника (ст. 206);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-заведомо ложное сообщение об акте терроризма (ст. 207);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-хулиганство при отягчающих обстоятельствах (ст.213 ч.2 и 3);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-вандализм (ст. 214);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-хищение либо вымогательство оружия, боеприпасов, взрывчатых веществ и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>зрывчатых устройств (ст. 226);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-хищение либо вымогательство наркотических средств или психотропных веществ</w:t>
      </w:r>
      <w:r w:rsidR="0073451D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(ст. 229);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приведение в негодность транспортных средств или путей сообщения (ст. 267).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3451D">
        <w:rPr>
          <w:rFonts w:ascii="Times New Roman" w:hAnsi="Times New Roman" w:cs="Times New Roman"/>
          <w:sz w:val="28"/>
          <w:szCs w:val="28"/>
          <w:u w:val="single"/>
        </w:rPr>
        <w:t>Жестокое обращение с детьми</w:t>
      </w:r>
      <w:r w:rsidRPr="000440EA">
        <w:rPr>
          <w:rFonts w:ascii="Times New Roman" w:hAnsi="Times New Roman" w:cs="Times New Roman"/>
          <w:sz w:val="28"/>
          <w:szCs w:val="28"/>
        </w:rPr>
        <w:t xml:space="preserve"> - действия (или бездействие) родителей,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воспитателей и других лиц,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наносящее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ущерб физическому или </w:t>
      </w:r>
      <w:proofErr w:type="spellStart"/>
      <w:r w:rsidRPr="000440EA">
        <w:rPr>
          <w:rFonts w:ascii="Times New Roman" w:hAnsi="Times New Roman" w:cs="Times New Roman"/>
          <w:sz w:val="28"/>
          <w:szCs w:val="28"/>
        </w:rPr>
        <w:t>психическомуздоровью</w:t>
      </w:r>
      <w:proofErr w:type="spellEnd"/>
      <w:r w:rsidRPr="000440EA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Выделяют несколько видов жестокого обращения: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физическое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>, сексуальное,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психическое (эмоционально дурное обращение) насилие, отсутствие заботы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(пренебрежение основными потребностями ребенка).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Насилие – любая форма взаимоотношений, направленная на установление или</w:t>
      </w:r>
      <w:r w:rsidR="0073451D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удержание контроля силой над другим человеком.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Формы насилия над детьми</w:t>
      </w:r>
      <w:r w:rsidR="0073451D">
        <w:rPr>
          <w:rFonts w:ascii="Times New Roman" w:hAnsi="Times New Roman" w:cs="Times New Roman"/>
          <w:sz w:val="28"/>
          <w:szCs w:val="28"/>
        </w:rPr>
        <w:t>: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Физическое насилие - действия (бездействие) со стороны родителей или других</w:t>
      </w:r>
      <w:r w:rsidR="0073451D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взрослых, в результате которых физическое и умственное здоровье ребенка</w:t>
      </w:r>
      <w:r w:rsidR="0073451D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нарушается или находится под угрозой повреждения.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Отсутствие заботы о детях (пренебрежение основными потребностями ребенка)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- невнимание к основным нуждам ребенка в пище, одежде,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медицинском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>, присмотре.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Психическое насилие (эмоционально дурное обращение с детьми):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 обвинения в адрес ребенка (брань, крики);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 принижение его успехов, унижение его достоинства;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 отвержение ребенка;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- длительное лишение ребенка любви, нежности, заботы и безопасности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стороны родителей;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 принуждение к одиночеству;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 совершение в присутствии ребенка насилия по отношению к супругу или другим</w:t>
      </w:r>
      <w:r w:rsidR="0073451D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детям;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lastRenderedPageBreak/>
        <w:t>- причинение боли домашним животным с целью запугать ребенка.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 xml:space="preserve">Сексуальное насилие над детьми - любой контакт или взаимодействие, </w:t>
      </w:r>
      <w:proofErr w:type="gramStart"/>
      <w:r w:rsidRPr="000440E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0440EA">
        <w:rPr>
          <w:rFonts w:ascii="Times New Roman" w:hAnsi="Times New Roman" w:cs="Times New Roman"/>
          <w:sz w:val="28"/>
          <w:szCs w:val="28"/>
        </w:rPr>
        <w:t xml:space="preserve"> ребенок сексуально стимулируется или используется для сексуальной</w:t>
      </w:r>
      <w:r w:rsidR="00981665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стимуляции.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Виды ответственности лиц, допускающих жестокое обращение с детьми,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в соответствии с российским законодательством</w:t>
      </w:r>
      <w:r w:rsidR="00981665">
        <w:rPr>
          <w:rFonts w:ascii="Times New Roman" w:hAnsi="Times New Roman" w:cs="Times New Roman"/>
          <w:sz w:val="28"/>
          <w:szCs w:val="28"/>
        </w:rPr>
        <w:t>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В российском законодательстве существует несколько видов ответственности</w:t>
      </w:r>
      <w:r w:rsidR="00981665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лиц, допускающих жестокое обращение с ребенком.</w:t>
      </w:r>
    </w:p>
    <w:p w:rsidR="00D36F0B" w:rsidRPr="00981665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1665">
        <w:rPr>
          <w:rFonts w:ascii="Times New Roman" w:hAnsi="Times New Roman" w:cs="Times New Roman"/>
          <w:sz w:val="28"/>
          <w:szCs w:val="28"/>
          <w:u w:val="single"/>
        </w:rPr>
        <w:t>Административная ответственность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Лица, допустившие пренебрежение основными потребностями ребенка, не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исполняющие обязанностей по содержанию и воспитанию несовершеннолетних,</w:t>
      </w:r>
      <w:r w:rsidR="00981665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подлежат административной ответственности в соответствии со ст. 5.35 Кодекса</w:t>
      </w:r>
      <w:r w:rsidR="00981665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«Неисполнение</w:t>
      </w:r>
      <w:r w:rsidR="00981665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родителями или иными законными представителями несовершеннолетних</w:t>
      </w:r>
      <w:r w:rsidR="005F644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обязанностей по содержанию и воспитанию несовершеннолетних».</w:t>
      </w:r>
    </w:p>
    <w:p w:rsidR="00D36F0B" w:rsidRPr="005F644E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44E">
        <w:rPr>
          <w:rFonts w:ascii="Times New Roman" w:hAnsi="Times New Roman" w:cs="Times New Roman"/>
          <w:sz w:val="28"/>
          <w:szCs w:val="28"/>
          <w:u w:val="single"/>
        </w:rPr>
        <w:t>Уголовная ответственность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Российское уголовное законодательство предусматривает ответственность лиц за</w:t>
      </w:r>
      <w:r w:rsidR="005F644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все виды физического и сексуального насилия над детьми, а также по ряду статей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 за психическое насилие и за пренебрежение основными потребностями детей,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отсутствие заботы о них.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Преступления против жизни и здоровья - ст. 110 (доведение до самоубийства); ст.</w:t>
      </w:r>
      <w:r w:rsidR="005F644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111 (умышленное причинение тяжкого вреда здоровью); ст. 112 (умышленное</w:t>
      </w:r>
      <w:r w:rsidR="005F644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причинение средней тяжести вреда здоровью; ст.113 (причинение тяжкого или</w:t>
      </w:r>
      <w:r w:rsidR="005F644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средней тяжести вреда здоровью в состоянии аффекта); ст.115 (умышленное</w:t>
      </w:r>
      <w:r w:rsidR="005F644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причинение легкого вреда здоровью); ст.116 (побои); ст.117 (истязание); ст. 118</w:t>
      </w:r>
      <w:r w:rsidR="005F644E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(причинение тяжкого или средней тяжести вреда здоровью по неосторожности);</w:t>
      </w:r>
      <w:r w:rsidR="000574A3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ст. 119 (угроза убийством или причинением тяжкого вреда здоровью); ст.125</w:t>
      </w:r>
      <w:r w:rsidR="000574A3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(оставление в опасности); ст.124 (неоказание помощи больному).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Преступления против половой неприкосновенности и половой свободы личности -</w:t>
      </w:r>
      <w:r w:rsidR="000574A3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131 (изнасилование); ст.132 (насильственные действия сексуального характера);</w:t>
      </w:r>
      <w:r w:rsidR="000574A3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ст.133 (понуждение к действиям сексуального характера), ст. 134 (половое</w:t>
      </w:r>
      <w:r w:rsidR="000574A3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сношение и иные действия сексуального характера с лицом, не достигшим</w:t>
      </w:r>
      <w:r w:rsidR="000574A3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шестнадцатилетнего возраста); ст. 135. (развратные действия).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Преступления против семьи и несовершеннолетних - ст. 156 (неисполнение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обязанностей по воспитанию несовершеннолетнего); ст. 157 (злостное уклонение</w:t>
      </w:r>
      <w:r w:rsidR="00BF341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от уплаты средств на содержание детей или нетрудоспособных родителей).</w:t>
      </w:r>
    </w:p>
    <w:p w:rsidR="00D36F0B" w:rsidRPr="00BF3414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3414">
        <w:rPr>
          <w:rFonts w:ascii="Times New Roman" w:hAnsi="Times New Roman" w:cs="Times New Roman"/>
          <w:sz w:val="28"/>
          <w:szCs w:val="28"/>
          <w:u w:val="single"/>
        </w:rPr>
        <w:t>Гражданско-правовая ответственность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lastRenderedPageBreak/>
        <w:t>Жестокое обращение с ребенком может послужить основанием для привлечения</w:t>
      </w:r>
      <w:r w:rsidR="00BF341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родителей (лиц, их заменяющих) к ответственности в соответствии с семейным</w:t>
      </w:r>
      <w:r w:rsidR="00BF3414">
        <w:rPr>
          <w:rFonts w:ascii="Times New Roman" w:hAnsi="Times New Roman" w:cs="Times New Roman"/>
          <w:sz w:val="28"/>
          <w:szCs w:val="28"/>
        </w:rPr>
        <w:t xml:space="preserve"> </w:t>
      </w:r>
      <w:r w:rsidRPr="000440EA">
        <w:rPr>
          <w:rFonts w:ascii="Times New Roman" w:hAnsi="Times New Roman" w:cs="Times New Roman"/>
          <w:sz w:val="28"/>
          <w:szCs w:val="28"/>
        </w:rPr>
        <w:t>законодательством: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 лишение родительских прав (ст. 69 Семейного кодекса Российской Федерации);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- ограничение родительских прав (ст. 73 Семейного кодекса Российской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EA">
        <w:rPr>
          <w:rFonts w:ascii="Times New Roman" w:hAnsi="Times New Roman" w:cs="Times New Roman"/>
          <w:sz w:val="28"/>
          <w:szCs w:val="28"/>
        </w:rPr>
        <w:t>Федерации);</w:t>
      </w:r>
      <w:proofErr w:type="gramEnd"/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- отобрание ребенка при непосредственной угрозе жизни ребенка или его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здоровью (ст. 77 Семейного кодекса Российской Федерации).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В современных условиях правовое воспитание необходимо для того, чтобы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пропагандировать безопасный и здоровый образ жизни среди молодежи, оно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играет большую роль в борьбе с подростковой преступностью и насилием,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создает благоприятные условия для развития личности, направляет энергию</w:t>
      </w:r>
    </w:p>
    <w:p w:rsidR="00D36F0B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40EA">
        <w:rPr>
          <w:rFonts w:ascii="Times New Roman" w:hAnsi="Times New Roman" w:cs="Times New Roman"/>
          <w:sz w:val="28"/>
          <w:szCs w:val="28"/>
        </w:rPr>
        <w:t>подростков в позитивное русло и учит их разрешать конфликты социально-</w:t>
      </w:r>
    </w:p>
    <w:p w:rsidR="00C7222C" w:rsidRPr="000440EA" w:rsidRDefault="00D36F0B" w:rsidP="000440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440EA">
        <w:rPr>
          <w:rFonts w:ascii="Times New Roman" w:hAnsi="Times New Roman" w:cs="Times New Roman"/>
          <w:sz w:val="28"/>
          <w:szCs w:val="28"/>
        </w:rPr>
        <w:t>приемлемым образом.</w:t>
      </w:r>
    </w:p>
    <w:sectPr w:rsidR="00C7222C" w:rsidRPr="0004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9A"/>
    <w:rsid w:val="000440EA"/>
    <w:rsid w:val="000574A3"/>
    <w:rsid w:val="000A626E"/>
    <w:rsid w:val="000F1E39"/>
    <w:rsid w:val="001A4DBA"/>
    <w:rsid w:val="002B4386"/>
    <w:rsid w:val="00480254"/>
    <w:rsid w:val="005F644E"/>
    <w:rsid w:val="0073451D"/>
    <w:rsid w:val="00883888"/>
    <w:rsid w:val="009048CC"/>
    <w:rsid w:val="00981665"/>
    <w:rsid w:val="00A312FD"/>
    <w:rsid w:val="00B007DE"/>
    <w:rsid w:val="00B3442B"/>
    <w:rsid w:val="00BD509A"/>
    <w:rsid w:val="00BF3414"/>
    <w:rsid w:val="00C7222C"/>
    <w:rsid w:val="00CD6BE7"/>
    <w:rsid w:val="00D36F0B"/>
    <w:rsid w:val="00E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2025-02-10T09:11:00Z</dcterms:created>
  <dcterms:modified xsi:type="dcterms:W3CDTF">2025-02-11T06:08:00Z</dcterms:modified>
</cp:coreProperties>
</file>